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5103" w:hanging="0"/>
        <w:jc w:val="right"/>
        <w:rPr>
          <w:rStyle w:val="Style13"/>
          <w:rFonts w:ascii="Times New Roman" w:hAnsi="Times New Roman" w:cs="Times New Roman"/>
          <w:b w:val="false"/>
          <w:b w:val="false"/>
          <w:color w:val="auto"/>
        </w:rPr>
      </w:pPr>
      <w:r>
        <w:rPr/>
        <w:t>Приложение 2 к государственной программе "Формирования современной городской среды Брянской области"</w:t>
      </w:r>
      <w:bookmarkStart w:id="0" w:name="sub_1200"/>
      <w:bookmarkEnd w:id="0"/>
    </w:p>
    <w:p>
      <w:pPr>
        <w:pStyle w:val="Normal"/>
        <w:rPr/>
      </w:pPr>
      <w:r>
        <w:rPr/>
      </w:r>
    </w:p>
    <w:p>
      <w:pPr>
        <w:pStyle w:val="1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Методика</w:t>
        <w:br/>
        <w:t>расчета значений показателей (индикаторов) государственной программы "Формирование современной городской среды Брянской области"</w:t>
      </w:r>
    </w:p>
    <w:p>
      <w:pPr>
        <w:pStyle w:val="1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1"/>
        <w:numPr>
          <w:ilvl w:val="0"/>
          <w:numId w:val="1"/>
        </w:num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Показатели (индикаторы), характеризующие конечные результаты реализации государственной программы</w:t>
      </w:r>
      <w:bookmarkStart w:id="1" w:name="sub_121"/>
      <w:bookmarkEnd w:id="1"/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1.1. Показатель "Доля городов с благоприятной средой от общего количества городов" рассчитывается как процентное соотношение количества городов с благоприятной средой к общему количеству городов в Брянской области. Источник данных - соглашения с Минстроем России.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  <w:bookmarkStart w:id="2" w:name="sub_1201"/>
      <w:bookmarkStart w:id="3" w:name="sub_1201"/>
      <w:bookmarkEnd w:id="3"/>
    </w:p>
    <w:p>
      <w:pPr>
        <w:pStyle w:val="1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Показатели (индикаторы), характеризующие реализацию основных мероприятий (проектов) государственной программы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 Региональный проект "Формирование комфортной городской среды (Брянская область)"</w:t>
      </w:r>
    </w:p>
    <w:p>
      <w:pPr>
        <w:pStyle w:val="Normal"/>
        <w:rPr>
          <w:sz w:val="28"/>
          <w:szCs w:val="28"/>
        </w:rPr>
      </w:pPr>
      <w:bookmarkStart w:id="4" w:name="sub_1202"/>
      <w:bookmarkEnd w:id="4"/>
      <w:r>
        <w:rPr>
          <w:sz w:val="28"/>
          <w:szCs w:val="28"/>
        </w:rPr>
        <w:t>2.1 Показатель "Доля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среды" рассчитывается как процентное соотношение количества граждан, принявших участие в решении вопросов развития городской среды, к общему количеству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среды. Источник данных - соглашения с Минстроем России.</w:t>
      </w:r>
    </w:p>
    <w:p>
      <w:pPr>
        <w:pStyle w:val="Normal"/>
        <w:rPr>
          <w:sz w:val="28"/>
          <w:szCs w:val="28"/>
        </w:rPr>
      </w:pPr>
      <w:bookmarkStart w:id="5" w:name="sub_1202"/>
      <w:bookmarkStart w:id="6" w:name="sub_1203"/>
      <w:bookmarkEnd w:id="5"/>
      <w:bookmarkEnd w:id="6"/>
      <w:r>
        <w:rPr>
          <w:sz w:val="28"/>
          <w:szCs w:val="28"/>
        </w:rPr>
        <w:t>2.2. Показатель "Доля объема закупок оборудования, имеющего российское происхождение, в том числе оборудования, закупаемого при выполнении работ, в общем объеме оборудования, закупленного в рамках реализации мероприятий государственных (муниципальных) программ формирования современной городской среды" рассчитывается в соответствии с методиками расчета показателей федерального и национального проектов. Источник данных - соглашения с Минстроем России.</w:t>
      </w:r>
    </w:p>
    <w:p>
      <w:pPr>
        <w:pStyle w:val="Normal"/>
        <w:rPr>
          <w:sz w:val="28"/>
          <w:szCs w:val="28"/>
        </w:rPr>
      </w:pPr>
      <w:bookmarkStart w:id="7" w:name="sub_1203"/>
      <w:bookmarkStart w:id="8" w:name="sub_1204"/>
      <w:bookmarkEnd w:id="7"/>
      <w:bookmarkEnd w:id="8"/>
      <w:r>
        <w:rPr>
          <w:sz w:val="28"/>
          <w:szCs w:val="28"/>
        </w:rPr>
        <w:t>2.3 Показатель "Индекс качества городск</w:t>
      </w:r>
      <w:bookmarkStart w:id="9" w:name="_GoBack"/>
      <w:bookmarkEnd w:id="9"/>
      <w:r>
        <w:rPr>
          <w:sz w:val="28"/>
          <w:szCs w:val="28"/>
        </w:rPr>
        <w:t xml:space="preserve">ой среды" рассчитывается Министерством строительства и жилищно-коммунального хозяйства Российской Федерации в соответствии с </w:t>
      </w:r>
      <w:hyperlink r:id="rId2">
        <w:r>
          <w:rPr>
            <w:color w:val="auto"/>
            <w:sz w:val="28"/>
            <w:szCs w:val="28"/>
          </w:rPr>
          <w:t>методикой</w:t>
        </w:r>
      </w:hyperlink>
      <w:r>
        <w:rPr>
          <w:sz w:val="28"/>
          <w:szCs w:val="28"/>
        </w:rPr>
        <w:t xml:space="preserve">, утвержденной </w:t>
      </w:r>
      <w:hyperlink r:id="rId3">
        <w:r>
          <w:rPr>
            <w:color w:val="auto"/>
            <w:sz w:val="28"/>
            <w:szCs w:val="28"/>
          </w:rPr>
          <w:t>распоряжением</w:t>
        </w:r>
      </w:hyperlink>
      <w:r>
        <w:rPr>
          <w:sz w:val="28"/>
          <w:szCs w:val="28"/>
        </w:rPr>
        <w:t xml:space="preserve"> Правительства Российской Федерации от 23 марта 2019 года N 510-р об утверждении методики формирования индекса качества городской среды, а также в соответствии со сведениями, поданными согласно форме федерального статистического наблюдения </w:t>
      </w:r>
      <w:hyperlink r:id="rId4">
        <w:r>
          <w:rPr>
            <w:color w:val="auto"/>
            <w:sz w:val="28"/>
            <w:szCs w:val="28"/>
          </w:rPr>
          <w:t>N 1 индекс КГС</w:t>
        </w:r>
      </w:hyperlink>
      <w:r>
        <w:rPr>
          <w:sz w:val="28"/>
          <w:szCs w:val="28"/>
        </w:rPr>
        <w:t xml:space="preserve"> "Сведения для расчета индекса качества городской среды", утвержденной </w:t>
      </w:r>
      <w:hyperlink r:id="rId5">
        <w:r>
          <w:rPr>
            <w:color w:val="auto"/>
            <w:sz w:val="28"/>
            <w:szCs w:val="28"/>
          </w:rPr>
          <w:t>приказом</w:t>
        </w:r>
      </w:hyperlink>
      <w:r>
        <w:rPr>
          <w:sz w:val="28"/>
          <w:szCs w:val="28"/>
        </w:rPr>
        <w:t xml:space="preserve"> Росстата от 25 января 2021 года N 30).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2.4. Показатель "Количество городов с благоприятной средой" определяется как количество городов с благоприятной средой и рассчитывается Министерством строительства и жилищно-коммунального хозяйства Российской Федерации в соответствии со сведениями, поданными согласно форме федерального статистического наблюдения </w:t>
      </w:r>
      <w:hyperlink r:id="rId6">
        <w:r>
          <w:rPr>
            <w:color w:val="auto"/>
            <w:sz w:val="28"/>
            <w:szCs w:val="28"/>
          </w:rPr>
          <w:t>N 1 индекс КГС</w:t>
        </w:r>
      </w:hyperlink>
      <w:r>
        <w:rPr>
          <w:sz w:val="28"/>
          <w:szCs w:val="28"/>
        </w:rPr>
        <w:t xml:space="preserve"> "Сведения для расчета индекса качества городской среды", утвержденной </w:t>
      </w:r>
      <w:hyperlink r:id="rId7">
        <w:r>
          <w:rPr>
            <w:color w:val="auto"/>
            <w:sz w:val="28"/>
            <w:szCs w:val="28"/>
          </w:rPr>
          <w:t>приказом</w:t>
        </w:r>
      </w:hyperlink>
      <w:r>
        <w:rPr>
          <w:sz w:val="28"/>
          <w:szCs w:val="28"/>
        </w:rPr>
        <w:t xml:space="preserve"> Росстата от 25 января 2021 года N 30).</w:t>
      </w:r>
    </w:p>
    <w:p>
      <w:pPr>
        <w:pStyle w:val="Normal"/>
        <w:rPr>
          <w:sz w:val="28"/>
          <w:szCs w:val="28"/>
        </w:rPr>
      </w:pPr>
      <w:bookmarkStart w:id="10" w:name="sub_1204"/>
      <w:bookmarkStart w:id="11" w:name="sub_1205"/>
      <w:bookmarkEnd w:id="10"/>
      <w:bookmarkEnd w:id="11"/>
      <w:r>
        <w:rPr>
          <w:sz w:val="28"/>
          <w:szCs w:val="28"/>
        </w:rPr>
        <w:t xml:space="preserve">2.5. Показатель "Прирост среднего индекса качества городской среды по отношению к 2019 году" рассчитывается Министерством строительства и жилищно-коммунального хозяйства Российской Федерации в соответствии с </w:t>
      </w:r>
      <w:hyperlink r:id="rId8">
        <w:r>
          <w:rPr>
            <w:color w:val="auto"/>
            <w:sz w:val="28"/>
            <w:szCs w:val="28"/>
          </w:rPr>
          <w:t>методикой</w:t>
        </w:r>
      </w:hyperlink>
      <w:r>
        <w:rPr>
          <w:sz w:val="28"/>
          <w:szCs w:val="28"/>
        </w:rPr>
        <w:t xml:space="preserve">, утвержденной </w:t>
      </w:r>
      <w:hyperlink r:id="rId9">
        <w:r>
          <w:rPr>
            <w:color w:val="auto"/>
            <w:sz w:val="28"/>
            <w:szCs w:val="28"/>
          </w:rPr>
          <w:t>распоряжением</w:t>
        </w:r>
      </w:hyperlink>
      <w:r>
        <w:rPr>
          <w:sz w:val="28"/>
          <w:szCs w:val="28"/>
        </w:rPr>
        <w:t xml:space="preserve"> Правительства Российской Федерации от 23 марта 2019 года N 510-р об утверждении методики формирования индекса качества городской среды.</w:t>
      </w:r>
    </w:p>
    <w:p>
      <w:pPr>
        <w:pStyle w:val="Normal"/>
        <w:rPr>
          <w:sz w:val="28"/>
          <w:szCs w:val="28"/>
        </w:rPr>
      </w:pPr>
      <w:bookmarkStart w:id="12" w:name="sub_1205"/>
      <w:bookmarkStart w:id="13" w:name="sub_1206"/>
      <w:bookmarkEnd w:id="12"/>
      <w:bookmarkEnd w:id="13"/>
      <w:r>
        <w:rPr>
          <w:sz w:val="28"/>
          <w:szCs w:val="28"/>
        </w:rPr>
        <w:t>2.6. Показатель "Реализованы мероприятия по благоустройству, предусмотренные государственными (муниципальными) программами формирования современной городской среды (количество благоустроенных дворовых территорий), не менее единиц накопительным итогом начиная с 2019 года" рассчитывается департаментом топливно-энергетического комплекса и жилищно-коммунального хозяйства Брянской области как сумма всех благоустроенных дворовых территорий, включенных в государственную (муниципальные) программу формирования современной городской среды, на основании фактических данных, представленных органами местного самоуправления.</w:t>
      </w:r>
    </w:p>
    <w:p>
      <w:pPr>
        <w:pStyle w:val="Normal"/>
        <w:rPr>
          <w:sz w:val="28"/>
          <w:szCs w:val="28"/>
        </w:rPr>
      </w:pPr>
      <w:bookmarkStart w:id="14" w:name="sub_1206"/>
      <w:bookmarkEnd w:id="14"/>
      <w:r>
        <w:rPr>
          <w:sz w:val="28"/>
          <w:szCs w:val="28"/>
        </w:rPr>
        <w:t>2.7. Показатель "</w:t>
      </w:r>
      <w:r>
        <w:rPr>
          <w:rFonts w:cs="Times New Roman" w:ascii="Times New Roman" w:hAnsi="Times New Roman"/>
          <w:color w:val="000000"/>
          <w:sz w:val="28"/>
          <w:szCs w:val="28"/>
        </w:rPr>
        <w:t>Реализованы мероприятия по благоустройству, предусмотренные государственными (муниципальными) программами формирования современной городской среды (количество обустроенных общественных пространств), не менее единиц накопительным итогом начиная с 2019 года</w:t>
      </w:r>
      <w:r>
        <w:rPr>
          <w:sz w:val="28"/>
          <w:szCs w:val="28"/>
        </w:rPr>
        <w:t>" рассчитывается департаментом топливно-энергетического комплекса и жилищно-коммунального хозяйства Брянской области как сумма всех благоустроенных общественных пространств, включенных в государственную (муниципальные) программу формирования современной городской среды, на основании фактических данных, представленных органами местного самоуправления.</w:t>
      </w:r>
      <w:bookmarkStart w:id="15" w:name="sub_1207"/>
      <w:bookmarkEnd w:id="15"/>
    </w:p>
    <w:p>
      <w:pPr>
        <w:pStyle w:val="Normal"/>
        <w:rPr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 CYR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9337d"/>
    <w:pPr>
      <w:widowControl w:val="false"/>
      <w:bidi w:val="0"/>
      <w:spacing w:lineRule="auto" w:line="240" w:before="0" w:after="0"/>
      <w:ind w:firstLine="720"/>
      <w:jc w:val="both"/>
    </w:pPr>
    <w:rPr>
      <w:rFonts w:ascii="Times New Roman CYR" w:hAnsi="Times New Roman CYR" w:eastAsia="" w:cs="Times New Roman CYR" w:eastAsiaTheme="minorEastAsia"/>
      <w:color w:val="auto"/>
      <w:kern w:val="0"/>
      <w:sz w:val="24"/>
      <w:szCs w:val="24"/>
      <w:lang w:eastAsia="ru-RU" w:val="ru-RU" w:bidi="ar-SA"/>
    </w:rPr>
  </w:style>
  <w:style w:type="paragraph" w:styleId="1">
    <w:name w:val="Heading 1"/>
    <w:basedOn w:val="Normal"/>
    <w:next w:val="Normal"/>
    <w:link w:val="10"/>
    <w:uiPriority w:val="99"/>
    <w:qFormat/>
    <w:rsid w:val="00f9337d"/>
    <w:pPr>
      <w:spacing w:before="108" w:after="108"/>
      <w:ind w:hanging="0"/>
      <w:jc w:val="center"/>
      <w:outlineLvl w:val="0"/>
    </w:pPr>
    <w:rPr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9"/>
    <w:qFormat/>
    <w:rsid w:val="00f9337d"/>
    <w:rPr>
      <w:rFonts w:ascii="Times New Roman CYR" w:hAnsi="Times New Roman CYR" w:eastAsia="" w:cs="Times New Roman CYR" w:eastAsiaTheme="minorEastAsia"/>
      <w:b/>
      <w:bCs/>
      <w:color w:val="26282F"/>
      <w:sz w:val="24"/>
      <w:szCs w:val="24"/>
      <w:lang w:eastAsia="ru-RU"/>
    </w:rPr>
  </w:style>
  <w:style w:type="character" w:styleId="Style13" w:customStyle="1">
    <w:name w:val="Цветовое выделение"/>
    <w:uiPriority w:val="99"/>
    <w:qFormat/>
    <w:rsid w:val="00f9337d"/>
    <w:rPr>
      <w:b/>
      <w:bCs/>
      <w:color w:val="26282F"/>
    </w:rPr>
  </w:style>
  <w:style w:type="character" w:styleId="Style14" w:customStyle="1">
    <w:name w:val="Гипертекстовая ссылка"/>
    <w:basedOn w:val="Style13"/>
    <w:uiPriority w:val="99"/>
    <w:qFormat/>
    <w:rsid w:val="00f9337d"/>
    <w:rPr>
      <w:b/>
      <w:bCs/>
      <w:color w:val="106BBE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Style21" w:customStyle="1">
    <w:name w:val="Комментарий"/>
    <w:basedOn w:val="Normal"/>
    <w:next w:val="Normal"/>
    <w:uiPriority w:val="99"/>
    <w:qFormat/>
    <w:rsid w:val="00f9337d"/>
    <w:pPr>
      <w:spacing w:before="75" w:after="0"/>
      <w:ind w:left="170" w:hanging="0"/>
    </w:pPr>
    <w:rPr>
      <w:color w:val="353842"/>
    </w:rPr>
  </w:style>
  <w:style w:type="paragraph" w:styleId="Style22" w:customStyle="1">
    <w:name w:val="Информация о версии"/>
    <w:basedOn w:val="Style21"/>
    <w:next w:val="Normal"/>
    <w:uiPriority w:val="99"/>
    <w:qFormat/>
    <w:rsid w:val="00f9337d"/>
    <w:pPr/>
    <w:rPr>
      <w:i/>
      <w:iCs/>
    </w:rPr>
  </w:style>
  <w:style w:type="paragraph" w:styleId="Style23" w:customStyle="1">
    <w:name w:val="Информация об изменениях"/>
    <w:basedOn w:val="Normal"/>
    <w:next w:val="Normal"/>
    <w:uiPriority w:val="99"/>
    <w:qFormat/>
    <w:rsid w:val="00f9337d"/>
    <w:pPr>
      <w:spacing w:before="180" w:after="0"/>
      <w:ind w:left="360" w:right="360" w:hanging="0"/>
    </w:pPr>
    <w:rPr>
      <w:color w:val="353842"/>
      <w:sz w:val="20"/>
      <w:szCs w:val="20"/>
    </w:rPr>
  </w:style>
  <w:style w:type="paragraph" w:styleId="Style24" w:customStyle="1">
    <w:name w:val="Подзаголовок для информации об изменениях"/>
    <w:basedOn w:val="Normal"/>
    <w:next w:val="Normal"/>
    <w:uiPriority w:val="99"/>
    <w:qFormat/>
    <w:rsid w:val="00f9337d"/>
    <w:pPr/>
    <w:rPr>
      <w:b/>
      <w:bCs/>
      <w:color w:val="353842"/>
      <w:sz w:val="20"/>
      <w:szCs w:val="20"/>
    </w:rPr>
  </w:style>
  <w:style w:type="paragraph" w:styleId="ListParagraph">
    <w:name w:val="List Paragraph"/>
    <w:basedOn w:val="Normal"/>
    <w:uiPriority w:val="34"/>
    <w:qFormat/>
    <w:rsid w:val="00ab38fb"/>
    <w:pPr>
      <w:spacing w:before="0" w:after="0"/>
      <w:ind w:left="720" w:firstLine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nternet.garant.ru/document/redirect/72204984/1000" TargetMode="External"/><Relationship Id="rId3" Type="http://schemas.openxmlformats.org/officeDocument/2006/relationships/hyperlink" Target="http://internet.garant.ru/document/redirect/72204984/0" TargetMode="External"/><Relationship Id="rId4" Type="http://schemas.openxmlformats.org/officeDocument/2006/relationships/hyperlink" Target="http://internet.garant.ru/document/redirect/400248851/1000" TargetMode="External"/><Relationship Id="rId5" Type="http://schemas.openxmlformats.org/officeDocument/2006/relationships/hyperlink" Target="http://internet.garant.ru/document/redirect/400248851/0" TargetMode="External"/><Relationship Id="rId6" Type="http://schemas.openxmlformats.org/officeDocument/2006/relationships/hyperlink" Target="http://internet.garant.ru/document/redirect/400248851/1000" TargetMode="External"/><Relationship Id="rId7" Type="http://schemas.openxmlformats.org/officeDocument/2006/relationships/hyperlink" Target="http://internet.garant.ru/document/redirect/400248851/0" TargetMode="External"/><Relationship Id="rId8" Type="http://schemas.openxmlformats.org/officeDocument/2006/relationships/hyperlink" Target="http://internet.garant.ru/document/redirect/72204984/1000" TargetMode="External"/><Relationship Id="rId9" Type="http://schemas.openxmlformats.org/officeDocument/2006/relationships/hyperlink" Target="http://internet.garant.ru/document/redirect/72204984/0" TargetMode="Externa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LibreOffice/7.0.1.2$Windows_X86_64 LibreOffice_project/7cbcfc562f6eb6708b5ff7d7397325de9e764452</Application>
  <Pages>2</Pages>
  <Words>503</Words>
  <Characters>4010</Characters>
  <CharactersWithSpaces>4499</CharactersWithSpaces>
  <Paragraphs>13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2022-10-25T13:06:00Z</dcterms:created>
  <dc:creator>Пользователь Windows</dc:creator>
  <dc:description/>
  <dc:language>ru-RU</dc:language>
  <cp:lastModifiedBy>User</cp:lastModifiedBy>
  <cp:lastPrinted>2022-10-25T13:05:00Z</cp:lastPrinted>
  <dcterms:modified xsi:type="dcterms:W3CDTF">2022-10-25T13:16:00Z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